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A541E5">
      <w:pPr>
        <w:pStyle w:val="Tekstpodstawowy31"/>
        <w:jc w:val="righ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7B6BD5" w:rsidRDefault="007B6BD5" w:rsidP="003E38E0">
      <w:pPr>
        <w:jc w:val="center"/>
        <w:rPr>
          <w:sz w:val="28"/>
          <w:szCs w:val="22"/>
        </w:rPr>
      </w:pPr>
    </w:p>
    <w:p w:rsidR="00A541E5" w:rsidRPr="003E38E0" w:rsidRDefault="00A541E5" w:rsidP="003E38E0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7264AD" w:rsidRDefault="007264AD" w:rsidP="00A541E5">
      <w:pPr>
        <w:jc w:val="center"/>
      </w:pPr>
    </w:p>
    <w:p w:rsidR="00A541E5" w:rsidRPr="00883368" w:rsidRDefault="00A541E5" w:rsidP="00A541E5">
      <w:pPr>
        <w:jc w:val="center"/>
      </w:pPr>
      <w:r w:rsidRPr="00883368">
        <w:t>§ 1</w:t>
      </w:r>
    </w:p>
    <w:p w:rsidR="008016F5" w:rsidRPr="00B75930" w:rsidRDefault="00A541E5" w:rsidP="0073504C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B75930" w:rsidRPr="0042742C" w:rsidRDefault="00B75930" w:rsidP="00B75930">
      <w:pPr>
        <w:pStyle w:val="Zwykytekst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511E61" w:rsidRDefault="008E5109" w:rsidP="00511E61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511E61">
        <w:rPr>
          <w:rFonts w:ascii="Times New Roman" w:hAnsi="Times New Roman"/>
          <w:sz w:val="24"/>
          <w:szCs w:val="24"/>
          <w:u w:val="single"/>
        </w:rPr>
        <w:t>Wydzielenie</w:t>
      </w:r>
      <w:r w:rsidR="00B75930">
        <w:rPr>
          <w:rFonts w:ascii="Times New Roman" w:hAnsi="Times New Roman"/>
          <w:sz w:val="24"/>
          <w:szCs w:val="24"/>
          <w:u w:val="single"/>
        </w:rPr>
        <w:t xml:space="preserve"> pomieszczenia w istniejącej hali stalowej</w:t>
      </w:r>
    </w:p>
    <w:p w:rsidR="008E5109" w:rsidRPr="00B75930" w:rsidRDefault="00B75930" w:rsidP="00511E61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 Zagościńcu przy ulicy Asfaltowej 1</w:t>
      </w:r>
      <w:r w:rsidR="008E5109" w:rsidRPr="00D15162">
        <w:rPr>
          <w:rFonts w:ascii="Times New Roman" w:hAnsi="Times New Roman"/>
          <w:sz w:val="24"/>
          <w:szCs w:val="24"/>
        </w:rPr>
        <w:t>”</w:t>
      </w:r>
    </w:p>
    <w:p w:rsidR="00842457" w:rsidRPr="00842457" w:rsidRDefault="00842457" w:rsidP="0073504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B75930" w:rsidRDefault="003961F5" w:rsidP="00B75930">
      <w:pPr>
        <w:jc w:val="both"/>
      </w:pPr>
      <w:r w:rsidRPr="00883368">
        <w:t xml:space="preserve">2.    Przedmiot zamówienia obejmuje </w:t>
      </w:r>
      <w:r w:rsidR="00B75930">
        <w:t>budowę (montaż) pomieszczenia magazynowego w istniejącej hali magazynowo – garażowej ocieplonej. Pomieszczenie o wymiarach dł. 13,0 m, szer. 4,40, wys. 4,20 m. ma być</w:t>
      </w:r>
      <w:r w:rsidR="00511E61">
        <w:t xml:space="preserve"> wykonane z</w:t>
      </w:r>
      <w:r w:rsidR="00B75930">
        <w:t xml:space="preserve"> konstrukcj</w:t>
      </w:r>
      <w:r w:rsidR="00511E61">
        <w:t>i</w:t>
      </w:r>
      <w:r w:rsidR="00B75930">
        <w:t xml:space="preserve"> stalow</w:t>
      </w:r>
      <w:r w:rsidR="00511E61">
        <w:t>ej</w:t>
      </w:r>
      <w:r w:rsidR="00B75930">
        <w:t xml:space="preserve"> ocynkowan</w:t>
      </w:r>
      <w:r w:rsidR="00511E61">
        <w:t>ej</w:t>
      </w:r>
      <w:r w:rsidR="00B75930">
        <w:t xml:space="preserve"> (profil 4 cm), pokryt</w:t>
      </w:r>
      <w:r w:rsidR="00511E61">
        <w:t>ej</w:t>
      </w:r>
      <w:r w:rsidR="00B75930">
        <w:t xml:space="preserve"> płytą warstwową białą o gr. min. 5 cm. W pomieszczeniu należy zamontować 1 szt. drzwi stalowe o wym. 2,0 x 1,0 m, wentylator elektryczny z czasowym włącznikiem, oświetlenie – 6 opraw </w:t>
      </w:r>
      <w:proofErr w:type="spellStart"/>
      <w:r w:rsidR="00B75930">
        <w:t>ledowych</w:t>
      </w:r>
      <w:proofErr w:type="spellEnd"/>
      <w:r w:rsidR="00B75930">
        <w:t xml:space="preserve"> świetlówek oraz zamontować gniazdo elektryczne podwójne. Pomieszczenie będzie się składać z dwóch ścian or</w:t>
      </w:r>
      <w:bookmarkStart w:id="0" w:name="_GoBack"/>
      <w:bookmarkEnd w:id="0"/>
      <w:r w:rsidR="00B75930">
        <w:t>az sufitu. Pozostałe dwie ściany będą stanowić ściany istniejącej hali. Pomieszczenie nie jest przeznaczone na stały pobyt ludzi.</w:t>
      </w:r>
    </w:p>
    <w:p w:rsidR="00B75930" w:rsidRPr="000D705E" w:rsidRDefault="00B75930" w:rsidP="00B75930">
      <w:pPr>
        <w:ind w:firstLine="709"/>
      </w:pPr>
      <w:r>
        <w:t xml:space="preserve">Istniejąca hala magazynowo – garażowa ocieplona posiada energię elektryczną (230 V, 400 V), oświetlenie w postaci opraw </w:t>
      </w:r>
      <w:proofErr w:type="spellStart"/>
      <w:r>
        <w:t>ledowych</w:t>
      </w:r>
      <w:proofErr w:type="spellEnd"/>
      <w:r>
        <w:t xml:space="preserve">, instalację alarmową, podłogę betonową.     </w:t>
      </w:r>
    </w:p>
    <w:p w:rsidR="00FF60EB" w:rsidRDefault="003961F5" w:rsidP="00A31FA3">
      <w:pPr>
        <w:tabs>
          <w:tab w:val="left" w:pos="567"/>
        </w:tabs>
        <w:jc w:val="both"/>
      </w:pPr>
      <w:r w:rsidRPr="00883368">
        <w:t xml:space="preserve">Szczegółowo zakres prac jest przedstawiony w </w:t>
      </w:r>
      <w:r w:rsidR="00B75930">
        <w:t>przed</w:t>
      </w:r>
      <w:r w:rsidRPr="00883368">
        <w:t>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37465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B75930">
        <w:rPr>
          <w:rFonts w:ascii="Times New Roman" w:hAnsi="Times New Roman"/>
          <w:sz w:val="24"/>
          <w:szCs w:val="24"/>
        </w:rPr>
        <w:t>60 dni od daty podpisania umowy.</w:t>
      </w:r>
    </w:p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371165" w:rsidRDefault="00371165" w:rsidP="00371165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A232F0" w:rsidRDefault="00A232F0" w:rsidP="00371165">
      <w:pPr>
        <w:pStyle w:val="Akapitzlist"/>
        <w:ind w:left="426" w:hanging="426"/>
        <w:jc w:val="both"/>
      </w:pPr>
    </w:p>
    <w:p w:rsidR="00A232F0" w:rsidRDefault="00A232F0" w:rsidP="00371165">
      <w:pPr>
        <w:pStyle w:val="Akapitzlist"/>
        <w:ind w:left="426" w:hanging="426"/>
        <w:jc w:val="both"/>
      </w:pPr>
    </w:p>
    <w:p w:rsidR="00A232F0" w:rsidRPr="003402CC" w:rsidRDefault="00A232F0" w:rsidP="00371165">
      <w:pPr>
        <w:pStyle w:val="Akapitzlist"/>
        <w:ind w:left="426" w:hanging="426"/>
        <w:jc w:val="both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lastRenderedPageBreak/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lastRenderedPageBreak/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niniejsza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92102B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B05E33" w:rsidRPr="00883368" w:rsidRDefault="00B05E33" w:rsidP="00A541E5">
      <w:pPr>
        <w:shd w:val="clear" w:color="auto" w:fill="FFFFFF"/>
        <w:tabs>
          <w:tab w:val="left" w:pos="394"/>
        </w:tabs>
        <w:suppressAutoHyphens/>
        <w:ind w:left="426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</w:t>
      </w:r>
      <w:r w:rsidRPr="00883368">
        <w:lastRenderedPageBreak/>
        <w:t xml:space="preserve">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Pr="00883368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18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19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20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 oraz przepisy Kodeksu Cywilnego.</w:t>
      </w:r>
    </w:p>
    <w:p w:rsidR="00A541E5" w:rsidRPr="00883368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21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041D36" w:rsidRPr="00D54BB4" w:rsidRDefault="00041D36" w:rsidP="00041D36">
      <w:pPr>
        <w:pStyle w:val="Akapitzlist"/>
        <w:numPr>
          <w:ilvl w:val="0"/>
          <w:numId w:val="21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165410" w:rsidRDefault="00165410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lastRenderedPageBreak/>
        <w:t>§</w:t>
      </w:r>
      <w:r w:rsidR="00582B90" w:rsidRPr="00883368">
        <w:t xml:space="preserve"> 22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6"/>
  </w:num>
  <w:num w:numId="14">
    <w:abstractNumId w:val="20"/>
  </w:num>
  <w:num w:numId="15">
    <w:abstractNumId w:val="37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29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4"/>
  </w:num>
  <w:num w:numId="33">
    <w:abstractNumId w:val="35"/>
  </w:num>
  <w:num w:numId="34">
    <w:abstractNumId w:val="31"/>
  </w:num>
  <w:num w:numId="35">
    <w:abstractNumId w:val="39"/>
  </w:num>
  <w:num w:numId="36">
    <w:abstractNumId w:val="23"/>
  </w:num>
  <w:num w:numId="37">
    <w:abstractNumId w:val="10"/>
  </w:num>
  <w:num w:numId="38">
    <w:abstractNumId w:val="38"/>
  </w:num>
  <w:num w:numId="39">
    <w:abstractNumId w:val="13"/>
  </w:num>
  <w:num w:numId="40">
    <w:abstractNumId w:val="17"/>
  </w:num>
  <w:num w:numId="41">
    <w:abstractNumId w:val="15"/>
  </w:num>
  <w:num w:numId="42">
    <w:abstractNumId w:val="42"/>
  </w:num>
  <w:num w:numId="43">
    <w:abstractNumId w:val="33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116A2"/>
    <w:rsid w:val="00511E61"/>
    <w:rsid w:val="005148C9"/>
    <w:rsid w:val="005553D5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75930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872C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83A5-2888-43C8-9314-094A5A66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8</Pages>
  <Words>2864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72</cp:revision>
  <cp:lastPrinted>2017-11-13T07:38:00Z</cp:lastPrinted>
  <dcterms:created xsi:type="dcterms:W3CDTF">2016-03-22T06:25:00Z</dcterms:created>
  <dcterms:modified xsi:type="dcterms:W3CDTF">2018-09-10T07:10:00Z</dcterms:modified>
</cp:coreProperties>
</file>